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BA" w:rsidRPr="00B154BA" w:rsidRDefault="00B154BA" w:rsidP="00B154BA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</w:pPr>
      <w:r w:rsidRPr="00B154BA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t>УЧЕБНЫЙ ПЛАН</w:t>
      </w:r>
    </w:p>
    <w:p w:rsidR="00B154BA" w:rsidRPr="00B154BA" w:rsidRDefault="00B154BA" w:rsidP="00B154BA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</w:pPr>
      <w:r w:rsidRPr="00B154BA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t>НАПРАВЛЕНИЯ МАГИСТРАТУРЫ </w:t>
      </w:r>
      <w:r w:rsidRPr="00B154BA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br/>
        <w:t>37.04.01 ПСИХОЛОГИЯ ПО ПРОГРАММЕ</w:t>
      </w:r>
      <w:r w:rsidRPr="00B154BA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br/>
        <w:t>«СОЦИАЛЬНАЯ И ЭКОНОМИЧЕСКАЯ ПСИХОЛОГИЯ»</w:t>
      </w:r>
    </w:p>
    <w:p w:rsidR="00B154BA" w:rsidRPr="00B154BA" w:rsidRDefault="00B154BA" w:rsidP="00B154BA">
      <w:pPr>
        <w:spacing w:before="195" w:after="195" w:line="240" w:lineRule="auto"/>
        <w:outlineLvl w:val="2"/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  <w:t>Дисциплины направления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Актуальные проблемы теоретической и прикладной психологии [Зачет]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Преподавание психологии в высшей школе [Зачет]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Компьютерные технологии в науке и образовании [Зачет]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Статистические методы и математическое моделирование в психологии [Зачет]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История экономических учений в России [Экзамен]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Экологическая психология [Экзамен]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История экономики [Экзамен]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 xml:space="preserve">Психология </w:t>
      </w:r>
      <w:proofErr w:type="spellStart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конкурентности</w:t>
      </w:r>
      <w:proofErr w:type="spellEnd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 xml:space="preserve"> (по выбору) [Экзамен]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Экономико-правовое регулирование социально-трудовых отношений [Экзамен]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Макроэкономика [Экзамен]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Основы экономической психологии [Зачет]</w:t>
      </w:r>
    </w:p>
    <w:p w:rsidR="00B154BA" w:rsidRPr="00B154BA" w:rsidRDefault="00B154BA" w:rsidP="00B154BA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Микроэкономика [Экзамен]</w:t>
      </w:r>
    </w:p>
    <w:p w:rsidR="00B154BA" w:rsidRPr="00B154BA" w:rsidRDefault="00B154BA" w:rsidP="00B154BA">
      <w:pPr>
        <w:spacing w:before="195" w:after="195" w:line="240" w:lineRule="auto"/>
        <w:outlineLvl w:val="2"/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  <w:t>Цикл специальных дисциплин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Профессиональная психодиагностика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в туристическом бизнесе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Управление персоналом [Экзамен]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PR в бизнесе и политике (по выбору)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Методы исследования и оптимизации межэтнического взаимодействия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управленческих и экономических конфликтов [Экзамен]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proofErr w:type="gramStart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Активные методы обучения) [Зачет]</w:t>
      </w:r>
      <w:proofErr w:type="gramEnd"/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proofErr w:type="gramStart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Психотерапия в работе с персоналом) [Зачет]</w:t>
      </w:r>
      <w:proofErr w:type="gramEnd"/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Корпоративная культура [Экзамен]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межэтнического взаимодействия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Экономическая этнопсихология [Экзамен]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proofErr w:type="spellStart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Командообразование</w:t>
      </w:r>
      <w:proofErr w:type="spellEnd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 xml:space="preserve"> [Экзамен]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формирования имиджа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 xml:space="preserve">Социально-психологический тренинг (Навыки </w:t>
      </w:r>
      <w:proofErr w:type="spellStart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коучинга</w:t>
      </w:r>
      <w:proofErr w:type="spellEnd"/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)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Социально-психологический тренинг (Развитие управленческих навыков) [Зачет]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Организационная психология [Экзамен]</w:t>
      </w:r>
    </w:p>
    <w:p w:rsidR="00B154BA" w:rsidRPr="00B154BA" w:rsidRDefault="00B154BA" w:rsidP="00B154BA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B154BA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Планирование теоретического и прикладного исследования [Экзамен]</w:t>
      </w:r>
    </w:p>
    <w:p w:rsidR="000A40BC" w:rsidRDefault="000A40BC">
      <w:bookmarkStart w:id="0" w:name="_GoBack"/>
      <w:bookmarkEnd w:id="0"/>
    </w:p>
    <w:sectPr w:rsidR="000A4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E0365"/>
    <w:multiLevelType w:val="multilevel"/>
    <w:tmpl w:val="F508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E70561"/>
    <w:multiLevelType w:val="multilevel"/>
    <w:tmpl w:val="3028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BA"/>
    <w:rsid w:val="000A40BC"/>
    <w:rsid w:val="00B154BA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15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4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15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4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15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54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1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Shaman</dc:creator>
  <cp:lastModifiedBy>Shaman</cp:lastModifiedBy>
  <cp:revision>2</cp:revision>
  <dcterms:created xsi:type="dcterms:W3CDTF">2015-01-28T18:09:00Z</dcterms:created>
  <dcterms:modified xsi:type="dcterms:W3CDTF">2015-01-28T18:09:00Z</dcterms:modified>
</cp:coreProperties>
</file>